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left"/>
        <w:rPr>
          <w:rFonts w:ascii="Calibri" w:hAnsi="Calibri" w:cs="Calibri"/>
          <w:b/>
          <w:bCs/>
          <w:sz w:val="22"/>
          <w:szCs w:val="22"/>
          <w:lang w:val="en-US"/>
        </w:rPr>
      </w:pPr>
      <w:r>
        <w:rPr/>
        <w:drawing>
          <wp:inline distT="0" distB="0" distL="0" distR="0">
            <wp:extent cx="1508125" cy="444500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BodyText"/>
        <w:jc w:val="center"/>
        <w:rPr>
          <w:color w:val="81D41A"/>
        </w:rPr>
      </w:pPr>
      <w:r>
        <w:rPr>
          <w:rFonts w:cs="Calibri" w:ascii="Calibri" w:hAnsi="Calibri" w:asciiTheme="minorHAnsi" w:cstheme="minorHAnsi" w:hAnsiTheme="minorHAnsi"/>
          <w:b/>
          <w:color w:val="81D41A"/>
          <w:sz w:val="48"/>
          <w:szCs w:val="48"/>
        </w:rPr>
        <w:t>KRITÉRIA PRO PŘIJÍMÁNÍ DĚTÍ</w:t>
      </w:r>
    </w:p>
    <w:p>
      <w:pPr>
        <w:pStyle w:val="BodyText"/>
        <w:jc w:val="center"/>
        <w:rPr>
          <w:color w:val="81D41A"/>
        </w:rPr>
      </w:pPr>
      <w:r>
        <w:rPr>
          <w:rFonts w:cs="Calibri" w:ascii="Calibri" w:hAnsi="Calibri" w:asciiTheme="minorHAnsi" w:cstheme="minorHAnsi" w:hAnsiTheme="minorHAnsi"/>
          <w:b/>
          <w:color w:val="81D41A"/>
          <w:sz w:val="36"/>
          <w:szCs w:val="36"/>
        </w:rPr>
        <w:t>k předškolnímu vzdělávání v mateřské škole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Ředitelka Mateřské školy Veletiny, okres Uherské Hradiště, příspěvková organizace (dále jen mateřská škola) stanovila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podaných zákonnými zástupci dětí o přijetí k předškolnímu vzdělávání v daném roce překročí stanovenou kapacitu maximálního počtu dětí pro mateřskou školu.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Základní ustanovení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Předškolní vzdělávání se poskytuje dětem ve věku zpravidla od 3 let, nejdříve však pro děti od 2 let, až do začátku povinné školní docházky.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Dle § 50 zákona č. 258/2000 Sb., o ochraně veřejného zdraví, ve znění pozdějších předpisů, je podmínkou přijetí dítěte do mateřské školy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řádné očkování.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Výjimkou podle § 46 odst. 4.) zákona 258/2000 Sb., o ochraně veřejného zdraví, v platném znění, jsou děti, pro které je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docházka do mateřské školy povinná.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III.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přijetí dítěte se speciálními vzdělávacími potřebami uvedeného v § 16 odst. 9 zákona 561/2004 Sb. školský zákon, ve znění pozdějších předpisů, rozhodne ředitelka mateřské školy na základě písemného vyjádření školského poradenského zařízení, popřípadě také registrujícího lékaře a možností mateřské školy.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IV.</w:t>
      </w:r>
    </w:p>
    <w:p>
      <w:pPr>
        <w:pStyle w:val="Normal"/>
        <w:jc w:val="both"/>
        <w:rPr>
          <w:rFonts w:ascii="Calibri" w:hAnsi="Calibri" w:cs="Arial" w:ascii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Podle § 34a odst. 2 zákona 561/2004 Sb., školský zákon, ve znění pozdějších předpisů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Arial" w:ascii="Calibri" w:hAnsi="Calibri" w:asciiTheme="minorHAnsi" w:hAnsiTheme="minorHAnsi"/>
          <w:sz w:val="22"/>
          <w:szCs w:val="22"/>
        </w:rPr>
        <w:t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se sídlem ve školském obvodu, v němž má dítě místo trvalého pobytu, pokud zákonný zástupce nezvolí pro dítě jinou mateřskou školu nebo jiný způsob povinného předškolního vzdělávání.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V.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FF0000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 případě, kdy počet žádostí o přijetí k předškolnímu vzdělávání v daném školním roce překročí stanovenou kapacitu maximálního počtu dětí pro mateřskou školu, rozhoduje ředitelka školy na základě kritérií uvedených v následující tabulce</w:t>
      </w:r>
      <w:r>
        <w:rPr>
          <w:rFonts w:cs="Calibri" w:ascii="Calibri" w:hAnsi="Calibri" w:asciiTheme="minorHAnsi" w:cstheme="minorHAnsi" w:hAnsiTheme="minorHAnsi"/>
          <w:color w:val="FF0000"/>
          <w:sz w:val="22"/>
          <w:szCs w:val="22"/>
        </w:rPr>
        <w:t>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Tabulka kritérií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tbl>
      <w:tblPr>
        <w:tblStyle w:val="Mkatabulky"/>
        <w:tblW w:w="91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"/>
        <w:gridCol w:w="4026"/>
        <w:gridCol w:w="3748"/>
        <w:gridCol w:w="807"/>
      </w:tblGrid>
      <w:tr>
        <w:trPr/>
        <w:tc>
          <w:tcPr>
            <w:tcW w:w="8303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8"/>
                <w:szCs w:val="28"/>
                <w:lang w:val="cs-CZ" w:eastAsia="cs-CZ" w:bidi="ar-SA"/>
              </w:rPr>
              <w:t>KRITÉRIA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8"/>
                <w:szCs w:val="28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8"/>
                <w:szCs w:val="28"/>
                <w:lang w:val="cs-CZ" w:eastAsia="cs-CZ" w:bidi="ar-SA"/>
              </w:rPr>
              <w:t>Body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1.</w:t>
            </w:r>
          </w:p>
        </w:tc>
        <w:tc>
          <w:tcPr>
            <w:tcW w:w="77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Poslední rok před zahájením povinné školní docházky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do základní školy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(povinné předškolní vzdělávání)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s trvalým pobytem dítěte v příslušném školském obvodu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dané MŠ (tj. děti, které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dosáhnou 5 let 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do 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9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2.</w:t>
            </w:r>
          </w:p>
        </w:tc>
        <w:tc>
          <w:tcPr>
            <w:tcW w:w="77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Trvalý pobyt dítěte v příslušném školském obvodu 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dané MŠ u dítěte, které dosáhlo věku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minimálně 4 roky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7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3.</w:t>
            </w:r>
          </w:p>
        </w:tc>
        <w:tc>
          <w:tcPr>
            <w:tcW w:w="77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Trvalý pobyt dítěte v příslušném školském obvodu 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dané MŠ u dítěte, které dosáhlo věku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minimálně 3 roky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6</w:t>
            </w:r>
          </w:p>
        </w:tc>
      </w:tr>
      <w:tr>
        <w:trPr/>
        <w:tc>
          <w:tcPr>
            <w:tcW w:w="529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4.</w:t>
            </w:r>
          </w:p>
        </w:tc>
        <w:tc>
          <w:tcPr>
            <w:tcW w:w="402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 xml:space="preserve">Věk dítěte, 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které </w:t>
            </w: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nemá trvalý pobyt v příslušném školském obvodu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 xml:space="preserve"> dané MŠ.</w:t>
            </w:r>
          </w:p>
        </w:tc>
        <w:tc>
          <w:tcPr>
            <w:tcW w:w="374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 let dovršených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3</w:t>
            </w:r>
          </w:p>
        </w:tc>
      </w:tr>
      <w:tr>
        <w:trPr/>
        <w:tc>
          <w:tcPr>
            <w:tcW w:w="52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b/>
                <w:sz w:val="22"/>
                <w:szCs w:val="22"/>
              </w:rPr>
            </w:r>
          </w:p>
        </w:tc>
        <w:tc>
          <w:tcPr>
            <w:tcW w:w="374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4 roky dovršené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2</w:t>
            </w:r>
          </w:p>
        </w:tc>
      </w:tr>
      <w:tr>
        <w:trPr/>
        <w:tc>
          <w:tcPr>
            <w:tcW w:w="52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4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3 roky dovršené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1</w:t>
            </w:r>
          </w:p>
        </w:tc>
      </w:tr>
      <w:tr>
        <w:trPr/>
        <w:tc>
          <w:tcPr>
            <w:tcW w:w="529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4026" w:type="dxa"/>
            <w:vMerge w:val="continue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cstheme="minorHAnsi" w:ascii="Calibri" w:hAnsi="Calibri"/>
                <w:sz w:val="22"/>
                <w:szCs w:val="22"/>
              </w:rPr>
            </w:r>
          </w:p>
        </w:tc>
        <w:tc>
          <w:tcPr>
            <w:tcW w:w="3748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2 roky dovršené k 31. 08.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0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5.</w:t>
            </w:r>
          </w:p>
        </w:tc>
        <w:tc>
          <w:tcPr>
            <w:tcW w:w="77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b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Bydliště dítěte ve Veletinách.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4</w:t>
            </w:r>
          </w:p>
        </w:tc>
      </w:tr>
      <w:tr>
        <w:trPr/>
        <w:tc>
          <w:tcPr>
            <w:tcW w:w="529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6.</w:t>
            </w:r>
          </w:p>
        </w:tc>
        <w:tc>
          <w:tcPr>
            <w:tcW w:w="777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cs-CZ" w:eastAsia="cs-CZ" w:bidi="ar-SA"/>
              </w:rPr>
              <w:t>Sourozenec dítěte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, který je již v MŠ přijatý a bude se v dané MŠ vzdělávat i v následujícím školním roce 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5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/202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6</w:t>
            </w:r>
            <w:r>
              <w:rPr>
                <w:rFonts w:eastAsia="" w:cs="Calibri" w:ascii="Calibri" w:hAnsi="Calibri" w:asciiTheme="minorHAnsi" w:cstheme="minorHAnsi" w:hAnsiTheme="minorHAnsi"/>
                <w:kern w:val="0"/>
                <w:sz w:val="22"/>
                <w:szCs w:val="22"/>
                <w:lang w:val="cs-CZ" w:eastAsia="cs-CZ" w:bidi="ar-SA"/>
              </w:rPr>
              <w:t>.</w:t>
            </w:r>
          </w:p>
        </w:tc>
        <w:tc>
          <w:tcPr>
            <w:tcW w:w="80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32"/>
                <w:szCs w:val="32"/>
              </w:rPr>
            </w:pPr>
            <w:r>
              <w:rPr>
                <w:rFonts w:eastAsia="" w:cs="Calibri" w:ascii="Calibri" w:hAnsi="Calibri" w:asciiTheme="minorHAnsi" w:cstheme="minorHAnsi" w:hAnsiTheme="minorHAnsi"/>
                <w:b/>
                <w:kern w:val="0"/>
                <w:sz w:val="32"/>
                <w:szCs w:val="32"/>
                <w:lang w:val="cs-CZ" w:eastAsia="cs-CZ" w:bidi="ar-SA"/>
              </w:rPr>
              <w:t>1</w:t>
            </w:r>
          </w:p>
        </w:tc>
      </w:tr>
    </w:tbl>
    <w:p>
      <w:pPr>
        <w:pStyle w:val="Normal"/>
        <w:spacing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asciiTheme="minorHAnsi" w:hAnsiTheme="minorHAnsi"/>
          <w:b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Postup při vyhodnocování kritérií: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Každému žadateli (dítěti) budou přiděleny </w:t>
      </w:r>
      <w:r>
        <w:rPr>
          <w:rFonts w:ascii="Calibri" w:hAnsi="Calibri" w:asciiTheme="minorHAnsi" w:hAnsiTheme="minorHAnsi"/>
          <w:b/>
          <w:sz w:val="22"/>
          <w:szCs w:val="22"/>
        </w:rPr>
        <w:t>body za splněná kritéria.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Podle počtu přidělených bodů bude stanoveno </w:t>
      </w:r>
      <w:r>
        <w:rPr>
          <w:rFonts w:ascii="Calibri" w:hAnsi="Calibri" w:asciiTheme="minorHAnsi" w:hAnsiTheme="minorHAnsi"/>
          <w:b/>
          <w:sz w:val="22"/>
          <w:szCs w:val="22"/>
        </w:rPr>
        <w:t>pořadí žadatelů.</w:t>
      </w:r>
    </w:p>
    <w:p>
      <w:pPr>
        <w:pStyle w:val="Normal"/>
        <w:numPr>
          <w:ilvl w:val="0"/>
          <w:numId w:val="1"/>
        </w:numPr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Žadatelé se shodným počtem bodů budou dále řazeni </w:t>
      </w:r>
      <w:r>
        <w:rPr>
          <w:rFonts w:ascii="Calibri" w:hAnsi="Calibri" w:asciiTheme="minorHAnsi" w:hAnsiTheme="minorHAnsi"/>
          <w:b/>
          <w:sz w:val="22"/>
          <w:szCs w:val="22"/>
        </w:rPr>
        <w:t>podle data narození</w:t>
      </w:r>
      <w:r>
        <w:rPr>
          <w:rFonts w:ascii="Calibri" w:hAnsi="Calibri" w:asciiTheme="minorHAnsi" w:hAnsiTheme="minorHAnsi"/>
          <w:sz w:val="22"/>
          <w:szCs w:val="22"/>
        </w:rPr>
        <w:t xml:space="preserve"> (od nejstaršího po nejmladší).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Ve Veletinách dne 01. 0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3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 202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5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ind w:firstLine="720" w:left="288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                                                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 xml:space="preserve">           Mgr. Jitka Orlovská,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DiS.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</w:t>
      </w:r>
    </w:p>
    <w:p>
      <w:pPr>
        <w:pStyle w:val="Normal"/>
        <w:ind w:firstLine="720" w:left="2880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   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ředitelka školy                                                                                                                                   </w:t>
      </w:r>
    </w:p>
    <w:sectPr>
      <w:headerReference w:type="default" r:id="rId3"/>
      <w:type w:val="nextPage"/>
      <w:pgSz w:w="12240" w:h="15840"/>
      <w:pgMar w:left="1418" w:right="1418" w:gutter="0" w:header="1134" w:top="2015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ascii="Times New Roman" w:hAnsi="Times New Roman" w:cs="Times New Roman"/>
        <w:b/>
        <w:color w:val="81D41A"/>
        <w:sz w:val="26"/>
        <w:szCs w:val="26"/>
      </w:rPr>
    </w:pPr>
    <w:r>
      <w:rPr>
        <w:rFonts w:cs="Times New Roman"/>
        <w:b/>
        <w:color w:val="81D41A"/>
        <w:sz w:val="26"/>
        <w:szCs w:val="26"/>
      </w:rPr>
      <w:t>MATEŘSKÁ ŠKOLA VELETINY,</w:t>
    </w:r>
  </w:p>
  <w:p>
    <w:pPr>
      <w:pStyle w:val="Normal"/>
      <w:jc w:val="center"/>
      <w:rPr>
        <w:rFonts w:ascii="Times New Roman" w:hAnsi="Times New Roman" w:cs="Times New Roman"/>
        <w:b/>
        <w:color w:val="81D41A"/>
        <w:sz w:val="26"/>
        <w:szCs w:val="26"/>
      </w:rPr>
    </w:pPr>
    <w:r>
      <w:rPr>
        <w:rFonts w:cs="Times New Roman"/>
        <w:b/>
        <w:color w:val="81D41A"/>
        <w:sz w:val="26"/>
        <w:szCs w:val="26"/>
      </w:rPr>
      <w:t>VELETINY 108, 687 33 VELETINY, IČO: 75023164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hyphenationZone w:val="425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 w:val="true"/>
      <w:jc w:val="center"/>
      <w:outlineLvl w:val="0"/>
    </w:pPr>
    <w:rPr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 w:val="true"/>
      <w:outlineLvl w:val="1"/>
    </w:pPr>
    <w:rPr>
      <w:sz w:val="26"/>
      <w:szCs w:val="26"/>
      <w:u w:val="single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 w:val="true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 w:val="true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 w:val="true"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 w:val="true"/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 w:val="true"/>
      <w:jc w:val="both"/>
      <w:outlineLvl w:val="6"/>
    </w:pPr>
    <w:rPr>
      <w:sz w:val="28"/>
      <w:szCs w:val="28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 w:val="true"/>
      <w:outlineLvl w:val="7"/>
    </w:pPr>
    <w:rPr>
      <w:b/>
      <w:bCs/>
      <w:sz w:val="24"/>
      <w:szCs w:val="24"/>
      <w:u w:val="single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 w:val="true"/>
      <w:widowControl w:val="false"/>
      <w:tabs>
        <w:tab w:val="clear" w:pos="720"/>
        <w:tab w:val="left" w:pos="2130" w:leader="none"/>
        <w:tab w:val="left" w:pos="8378" w:leader="none"/>
        <w:tab w:val="left" w:pos="10082" w:leader="none"/>
      </w:tabs>
      <w:ind w:firstLine="142" w:right="-74"/>
      <w:outlineLvl w:val="8"/>
    </w:pPr>
    <w:rPr>
      <w:b/>
      <w:b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Nadpis4Char" w:customStyle="1">
    <w:name w:val="Nadpis 4 Char"/>
    <w:basedOn w:val="DefaultParagraphFont"/>
    <w:uiPriority w:val="9"/>
    <w:semiHidden/>
    <w:qFormat/>
    <w:locked/>
    <w:rPr>
      <w:rFonts w:cs="Times New Roman"/>
      <w:b/>
      <w:bCs/>
      <w:sz w:val="28"/>
      <w:szCs w:val="28"/>
    </w:rPr>
  </w:style>
  <w:style w:type="character" w:styleId="Nadpis5Char" w:customStyle="1">
    <w:name w:val="Nadpis 5 Char"/>
    <w:basedOn w:val="DefaultParagraphFont"/>
    <w:uiPriority w:val="9"/>
    <w:semiHidden/>
    <w:qFormat/>
    <w:locked/>
    <w:rPr>
      <w:rFonts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uiPriority w:val="9"/>
    <w:semiHidden/>
    <w:qFormat/>
    <w:locked/>
    <w:rPr>
      <w:rFonts w:cs="Times New Roman"/>
      <w:b/>
      <w:bCs/>
    </w:rPr>
  </w:style>
  <w:style w:type="character" w:styleId="Nadpis7Char" w:customStyle="1">
    <w:name w:val="Nadpis 7 Char"/>
    <w:basedOn w:val="DefaultParagraphFont"/>
    <w:uiPriority w:val="9"/>
    <w:semiHidden/>
    <w:qFormat/>
    <w:locked/>
    <w:rPr>
      <w:rFonts w:cs="Times New Roman"/>
      <w:sz w:val="24"/>
      <w:szCs w:val="24"/>
    </w:rPr>
  </w:style>
  <w:style w:type="character" w:styleId="Nadpis8Char" w:customStyle="1">
    <w:name w:val="Nadpis 8 Char"/>
    <w:basedOn w:val="DefaultParagraphFont"/>
    <w:uiPriority w:val="9"/>
    <w:semiHidden/>
    <w:qFormat/>
    <w:locked/>
    <w:rPr>
      <w:rFonts w:cs="Times New Roman"/>
      <w:i/>
      <w:iCs/>
      <w:sz w:val="24"/>
      <w:szCs w:val="24"/>
    </w:rPr>
  </w:style>
  <w:style w:type="character" w:styleId="Nadpis9Char" w:customStyle="1">
    <w:name w:val="Nadpis 9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</w:rPr>
  </w:style>
  <w:style w:type="character" w:styleId="RozloendokumentuChar" w:customStyle="1">
    <w:name w:val="Rozložení dokumentu Char"/>
    <w:basedOn w:val="DefaultParagraphFont"/>
    <w:uiPriority w:val="99"/>
    <w:semiHidden/>
    <w:qFormat/>
    <w:locked/>
    <w:rPr>
      <w:rFonts w:ascii="Tahoma" w:hAnsi="Tahoma" w:cs="Tahoma"/>
      <w:sz w:val="16"/>
      <w:szCs w:val="16"/>
    </w:rPr>
  </w:style>
  <w:style w:type="character" w:styleId="NzevChar" w:customStyle="1">
    <w:name w:val="Název Char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2Char" w:customStyle="1">
    <w:name w:val="Základní text 2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PodtitulChar" w:customStyle="1">
    <w:name w:val="Podtitul Char"/>
    <w:basedOn w:val="DefaultParagraphFont"/>
    <w:qFormat/>
    <w:locked/>
    <w:rPr>
      <w:rFonts w:ascii="Cambria" w:hAnsi="Cambria" w:eastAsia="" w:cs="Times New Roman" w:asciiTheme="majorHAnsi" w:eastAsiaTheme="majorEastAsia" w:hAnsiTheme="majorHAnsi"/>
      <w:sz w:val="24"/>
      <w:szCs w:val="24"/>
    </w:rPr>
  </w:style>
  <w:style w:type="character" w:styleId="ZkladntextChar" w:customStyle="1">
    <w:name w:val="Základní text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Zkladntextodsazen2Char" w:customStyle="1">
    <w:name w:val="Základní text odsazený 2 Char"/>
    <w:basedOn w:val="DefaultParagraphFon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96750"/>
    <w:rPr>
      <w:rFonts w:cs="Times New Roman"/>
      <w:color w:themeColor="hyperlink" w:val="0000FF"/>
      <w:u w:val="singl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link w:val="RozloendokumentuChar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link w:val="NzevChar"/>
    <w:uiPriority w:val="99"/>
    <w:qFormat/>
    <w:pPr>
      <w:jc w:val="center"/>
    </w:pPr>
    <w:rPr>
      <w:b/>
      <w:bCs/>
      <w:sz w:val="28"/>
      <w:szCs w:val="28"/>
    </w:rPr>
  </w:style>
  <w:style w:type="paragraph" w:styleId="BodyText2">
    <w:name w:val="Body Text 2"/>
    <w:basedOn w:val="Normal"/>
    <w:link w:val="Zkladntext2Char"/>
    <w:uiPriority w:val="99"/>
    <w:qFormat/>
    <w:pPr/>
    <w:rPr>
      <w:sz w:val="24"/>
      <w:szCs w:val="24"/>
    </w:rPr>
  </w:style>
  <w:style w:type="paragraph" w:styleId="Subtitle">
    <w:name w:val="Subtitle"/>
    <w:basedOn w:val="Normal"/>
    <w:link w:val="PodtitulChar"/>
    <w:qFormat/>
    <w:pPr/>
    <w:rPr>
      <w:b/>
      <w:bCs/>
      <w:sz w:val="26"/>
      <w:szCs w:val="26"/>
      <w:u w:val="single"/>
    </w:rPr>
  </w:style>
  <w:style w:type="paragraph" w:styleId="BodyTextIndent2">
    <w:name w:val="Body Text Indent 2"/>
    <w:basedOn w:val="Normal"/>
    <w:link w:val="Zkladntextodsazen2Char"/>
    <w:uiPriority w:val="99"/>
    <w:qFormat/>
    <w:pPr>
      <w:widowControl w:val="false"/>
      <w:tabs>
        <w:tab w:val="clear" w:pos="720"/>
        <w:tab w:val="left" w:pos="2130" w:leader="none"/>
        <w:tab w:val="left" w:pos="8378" w:leader="none"/>
        <w:tab w:val="left" w:pos="10082" w:leader="none"/>
      </w:tabs>
      <w:ind w:firstLine="142" w:right="-74"/>
      <w:outlineLvl w:val="0"/>
    </w:pPr>
    <w:rPr>
      <w:sz w:val="24"/>
      <w:szCs w:val="24"/>
      <w:lang w:val="en-US"/>
    </w:rPr>
  </w:style>
  <w:style w:type="paragraph" w:styleId="Zhlavazpat">
    <w:name w:val="Záhlaví a zápatí"/>
    <w:basedOn w:val="Normal"/>
    <w:qFormat/>
    <w:pPr>
      <w:suppressLineNumbers/>
      <w:tabs>
        <w:tab w:val="clear" w:pos="720"/>
        <w:tab w:val="center" w:pos="4702" w:leader="none"/>
        <w:tab w:val="right" w:pos="9404" w:leader="none"/>
      </w:tabs>
    </w:pPr>
    <w:rPr/>
  </w:style>
  <w:style w:type="paragraph" w:styleId="Header">
    <w:name w:val="Header"/>
    <w:basedOn w:val="Zhlavazpat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e68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LibreOffice/7.6.4.1$Windows_X86_64 LibreOffice_project/e19e193f88cd6c0525a17fb7a176ed8e6a3e2aa1</Application>
  <AppVersion>15.0000</AppVersion>
  <DocSecurity>0</DocSecurity>
  <Pages>2</Pages>
  <Words>550</Words>
  <Characters>3003</Characters>
  <CharactersWithSpaces>3727</CharactersWithSpaces>
  <Paragraphs>53</Paragraphs>
  <Company>MŠ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2023-03-27T13:00:00Z</dcterms:created>
  <dc:creator>Málková</dc:creator>
  <dc:description/>
  <dc:language>cs-CZ</dc:language>
  <cp:lastModifiedBy/>
  <cp:lastPrinted>2025-03-20T11:05:32Z</cp:lastPrinted>
  <dcterms:modified xsi:type="dcterms:W3CDTF">2025-03-20T11:06:06Z</dcterms:modified>
  <cp:revision>5</cp:revision>
  <dc:subject/>
  <dc:title>Mateřská škola, Uherský Brod, Primátora Hájka 2030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